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64c938641c7438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22728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TEHNIČKA ŠKOLA NIKOLE TESLE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2.933.038,64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3.175.174,48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2.931.665,03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3.409.100,50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233.926,02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31.689,92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1507,5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265.615,94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bl>
    <w:p>
      <w:pPr>
        <w:spacing w:before="0" w:after="0"/>
      </w:pPr>
    </w:p>
    <w:p>
      <w:r>
        <w:t xml:space="preserve">Prema Novom Pravilniku o proračunskom računovodstvu i računskom planu (NN158/23, NN154/24) čl.233 sa danom 1.siječanj 2025. godine ukinunuta je posdkupina računa 193 Kontinuirani rashodi budućih razdoblja. Tako u 2025. godinu imamo situaciju gdje je kontinuirani rashod-plaća za 12.mjesec 2024. godine zatvoren odobrenjem konta 193 te prenesen na rashod zaduživanjem konta razreda 3 rashoda za zaposlene. Slijedom navedenog u 2025. godini imamo knjiženo 13 rashoda za zaposlene i 12 prihoda za zaposlene tj. manjak prihoda za pokriće rashoda za zaposlene. </w:t>
      </w:r>
    </w:p>
    <w:p>
      <w:r>
        <w:t xml:space="preserve">Ukupni prihodi poslovanja  2025. godine iznose 3.175.174,48 eur i povećani su u odnosu na prethodnu godinu uslijed povećanja prihoda za zaposlene (povećanje osnovice za obračun plaća, povećan broj zaposlenika), povećanja prihoda od osnivača  za pokriće materijalnih, stvarnih i ostalih rashoda.</w:t>
      </w:r>
    </w:p>
    <w:p>
      <w:r>
        <w:t xml:space="preserve">Ukupni rashodi poslovanja 2025. godine iznose 3.409.100,50 eur i bilježe značajan porast u odnosu na prethodnu godinu. Najviše su povećni rashodi za zaposlene uslijed knjiženja 13 rashoda a ne 12 rashoda kao u prethodnoj godini. Materijalni rashodi su također povećani uslijed rasta cijena na tržištu te su samim time računi dobavljača za iste povećani.</w:t>
      </w:r>
    </w:p>
    <w:p>
      <w:r>
        <w:t xml:space="preserve">Ukupni rashodi za nabavu nefinancijske imovine 2025. godine iznose 31.689,92 eur. Bilježe rast u odnosu na prethodnu godinu uslijed većeg iznosa nabave računala.</w:t>
      </w:r>
    </w:p>
    <w:p>
      <w:r>
        <w:t xml:space="preserve">Sučeljavanjem prihoda i rashoda  za 2025. godinu utvrđen je:</w:t>
      </w:r>
    </w:p>
    <w:p>
      <w:r>
        <w:t xml:space="preserve">-manjak prihoda poslovanja 2025. godine 233.926,02 eur ( razred 6 - razred 3)</w:t>
      </w:r>
    </w:p>
    <w:p>
      <w:r>
        <w:t xml:space="preserve">-manjak prihoda za nabavu nefinancijske imovine 2025. godine 31.689,92 eur ( razred 4 )</w:t>
      </w:r>
    </w:p>
    <w:p>
      <w:r>
        <w:t xml:space="preserve">-preneseni manjak iz prethodne godine je 5.455,76 eur</w:t>
      </w:r>
    </w:p>
    <w:p>
      <w:r>
        <w:t xml:space="preserve">-sproveli smo 1.obveznu korekciju rezulatata za kapitalni iznos (čl.215 Novog Pravilnika) 31.689,92 eur</w:t>
      </w:r>
    </w:p>
    <w:p>
      <w:r>
        <w:t xml:space="preserve">-manjak prihoda i primitaka za pokriće u slijedećem razdoblju iznosi 271.071,70 eur ( Referentna strana šifra Y006, Bilanca konto 92221)</w:t>
      </w:r>
    </w:p>
    <w:p>
      <w:r>
        <w:t xml:space="preserve">Imovina bilježi iznos od 3.487.969,39 eur sastoji se od nefinancijske imovine u iznosu od 3.173.655,67 eur i financijske imovine u iznosu od 314.313,72 eur  (potraživanja). Obveze i vlastiti izvori s druge strane bilježe također iznos od 3.487.969,39 eur i sastoje se od 300.924,86 eur obveza i 3.187.044,57 eur vlastitih izvora ( vlastiti izvori, rezultat poslovanja i obračuanti prihodi poslovanja) što nam govori da je bilanca u ravnoteži.</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2.933.038,64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3.175.174,48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Ukupni prihodi poslovanja u 2025. godini iznose 3.175.174,48 eura i povećani su u odnosu na prethodnu godinu zbog povećanja prihoda za zaposlenike (povećanje osnovice za obračun plaća, povećan broj zaposlenika), povećanja prihoda od osnivača za pokrivanje materijalnih, stvarnih i ostalih troškova.</w:t>
      </w:r>
    </w:p>
    <w:p>
      <w:r>
        <w:t xml:space="preserv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2.697.986,80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2.901.303,28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Prihodi za financiranje plaća i drugih materijalnih prava zaposlenika  zabilježili su porast u odnosu na prethodnu godinu zbog povećanja osnovice za obračun plaće i povećanja broja zaposlenika.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104,3</w:t>
            </w:r>
          </w:p>
        </w:tc>
      </w:tr>
    </w:tbl>
    <w:p>
      <w:pPr>
        <w:spacing w:before="0" w:after="0"/>
      </w:pPr>
    </w:p>
    <w:p>
      <w:r>
        <w:t xml:space="preserve">Ovi prihodi se odnose na prihode za nabavku besplatnih udžbenika za učenike čiji su roditelji korsnici ZMN, besplatne udžbenike za učenike iz Ukrajine, opremanje školske knjižnice, oprema za psihologa.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51,5</w:t>
            </w:r>
          </w:p>
        </w:tc>
      </w:tr>
    </w:tbl>
    <w:p>
      <w:pPr>
        <w:spacing w:before="0" w:after="0"/>
      </w:pPr>
    </w:p>
    <w:p>
      <w:r>
        <w:t xml:space="preserve">Odnose se na uplate za Program-Šema školsko voće za šk.god.2024./2025. i 2025./2026. koji provodi osnivač Vukovarsko-srijemska županija.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16.568,94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213,4</w:t>
            </w:r>
          </w:p>
        </w:tc>
      </w:tr>
    </w:tbl>
    <w:p>
      <w:pPr>
        <w:spacing w:before="0" w:after="0"/>
      </w:pPr>
    </w:p>
    <w:p>
      <w:r>
        <w:t xml:space="preserve">Uključuju prihode od pruženih usluga, izdavanja duplikata svjedodžbi, potvrda, obrazovanja odraslih,  učeničke zadruge i učeničkog servisa škole koji su povećani u odnosu na prethodnu godinu- veći broj polaznika te veći broj učenika.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206.923,22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Prihodi od osnivača Vukovarsko-srijemske županije veći su u odnosu na prethodnu godinu. Iz tih prihoda plaćaju se računi dobavljača za materijalne i stvarne troškove koje je škola imala. Broj zaposlenih je prosječno 105 mjesečno i utječe na značajan iznos troškova prijevoza za odlazak na posao i s posla. Povećanje cijena roba i usluga dobavljača dovelo je do povećanja iznosa ulaznih računa dobavljača. Skupa dovodi do povećanja ovih prihoda.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2.931.665,03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3.409.100,50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Ukupni rashodi poslovanja bilježe značajan porast u odnosu na prethodnu godinu. Najviše su povećani rashodi za zaposlene uslijed knjiženja 13 rashoda istih u 2025. godini a 12 rashoda u 2024. godini. Materijalni rashodi su također povećani uslijed rasta cijena na tržištu te su samim tim računi dobavljača za sve nabavke veći.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31.689,92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1507,5</w:t>
            </w:r>
          </w:p>
        </w:tc>
      </w:tr>
    </w:tbl>
    <w:p>
      <w:pPr>
        <w:spacing w:before="0" w:after="0"/>
      </w:pPr>
    </w:p>
    <w:p>
      <w:r>
        <w:t xml:space="preserve">Rashodi za nabavu nefinancijske imovine bilježe porast u odnosu na prethodnu godinu najviše radi nabave računala i opremanja učionice za nastavu informatike.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197,5</w:t>
            </w:r>
          </w:p>
        </w:tc>
      </w:tr>
    </w:tbl>
    <w:p>
      <w:pPr>
        <w:spacing w:before="0" w:after="0"/>
      </w:pPr>
    </w:p>
    <w:p>
      <w:r>
        <w:t xml:space="preserve">Rashodi za nabavu knjiga su povećani u odnosu na prethodnu godinu radi veće nabave većem broju učenika besplatnih udžbenika (učenici čiji su roditelji korisnici ZMN i učenici iz Ukrajine).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Preneseni manjak iz 2024. godine.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9.746,45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w:t>
            </w:r>
          </w:p>
        </w:tc>
      </w:tr>
    </w:tbl>
    <w:p>
      <w:pPr>
        <w:spacing w:before="0" w:after="0"/>
      </w:pPr>
    </w:p>
    <w:p>
      <w:r>
        <w:t xml:space="preserve">Ovaj rashodi bilježi smanjenje u odnosu na prethodnu godinu jer u 2025. godini samo je jedan zaposlenik ispunio pravo odlaska u mirovinu. Obračunata je i isplaćena otpremnina.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na posao i s posla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77.280,38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80.306,94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Rashod za nakande za prjevoz na posao i s posla bilježi porast u odnosu na prethodnu godinu. Veći broj zaposlenika. Prosječno 105 mjesečno.</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Ugovor o djelu za e-tehničara škole čiji program financira osnivač Vukovarsko-srijemska županija.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w:t>
            </w:r>
          </w:p>
        </w:tc>
      </w:tr>
    </w:tbl>
    <w:p>
      <w:pPr>
        <w:spacing w:before="0" w:after="0"/>
      </w:pPr>
    </w:p>
    <w:p>
      <w:r>
        <w:t xml:space="preserve">Potraživanja za bolovanja preko 42 dana koja refundira HZZO.</w:t>
      </w:r>
    </w:p>
    <w:p>
      <w:r>
        <w:t xml:space="preserve">Potraživanje je smanjeno u odnosu prethodnu godinu.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29.455,04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w:t>
            </w:r>
          </w:p>
        </w:tc>
      </w:tr>
    </w:tbl>
    <w:p>
      <w:pPr>
        <w:spacing w:before="0" w:after="0"/>
      </w:pPr>
    </w:p>
    <w:p>
      <w:r>
        <w:t xml:space="preserve">Od 1.2.2024. godine škola posluje preko Jedinstvenog računa Riznice Vukovarsko-srijemske županije.</w:t>
      </w:r>
    </w:p>
    <w:p>
      <w:r>
        <w:t xml:space="preserve">Na kontu 16721 Potraživanja proračunskih korisnika za sredstva uplaćena u državni proračun evidentirana su sredstva na žiro-računu škole kod Hrvatske poštanske banke d.d. IBAN HR7723900011500265281 u iznosu od 29.455,04 eur.</w:t>
      </w:r>
    </w:p>
    <w:p>
      <w:r>
        <w:t xml:space="preserve">Na kraju izvještajnog razdoblja bilježimo povećanje sredstava u odnosu na prethodnu godinu.</w:t>
      </w:r>
    </w:p>
    <w:p>
      <w:r>
        <w:t xml:space="preserve">U prosincu 2025. imamo uplaćena sredstva DPRH koja nisu potrošena na kraju izvještajnog razdoblja  i koja će se trošiti u idućoj godini:</w:t>
      </w:r>
    </w:p>
    <w:p>
      <w:r>
        <w:t xml:space="preserve">5.787,50 eur za programe nacionalnih manjina</w:t>
      </w:r>
    </w:p>
    <w:p>
      <w:r>
        <w:t xml:space="preserve">1.735,00 eur za nabavku oprema za psihologa</w:t>
      </w:r>
    </w:p>
    <w:p>
      <w:r>
        <w:t xml:space="preserve">4.030,00 eur "Učimo društvo, živimo kulturu"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271.071,70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6597,6</w:t>
            </w:r>
          </w:p>
        </w:tc>
      </w:tr>
    </w:tbl>
    <w:p>
      <w:pPr>
        <w:spacing w:before="0" w:after="0"/>
      </w:pPr>
    </w:p>
    <w:p>
      <w:r>
        <w:t xml:space="preserve">Nakon evidentiranja svih poslovnih promjena u 2025. godini, završnih knjiženja utvrdili smo:</w:t>
      </w:r>
    </w:p>
    <w:p>
      <w:r>
        <w:t xml:space="preserve">-manjak prihoda poslovanja 2025. godine 233.926,02 eur (razred 6-razred 3)</w:t>
      </w:r>
    </w:p>
    <w:p>
      <w:r>
        <w:t xml:space="preserve">-manjak prihoda za nabavu nefinancijske imovine 2025. godine 31.689,92 eur (razred 4)</w:t>
      </w:r>
    </w:p>
    <w:p>
      <w:r>
        <w:t xml:space="preserve">-preneseni manjak iz prethodne godine 5.455,76 eur</w:t>
      </w:r>
    </w:p>
    <w:p>
      <w:r>
        <w:t xml:space="preserve">-sproveli smo 1.obveznu korekciju rezultata za kapitalni iznos (čl.215 Novog Pravilnika) 31.689,92 eur</w:t>
      </w:r>
    </w:p>
    <w:p>
      <w:r>
        <w:t xml:space="preserve">-manjak prihoda poslovanja iznosi 271.071,70 eur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284.460,60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u 2025. godini uključuju: 270.545,35 eur Tekuće pomoći proračunskim korisnicima iz proračuna koji im nije nadležan, 13.378,89 eur Tekuće pomoći iz državnog proračuna temeljem prijenosa EU sredstava, 301,36 eur Obračunati prihodi od imovine, 200,00 eur Obračunati prihodi od pruženih usluga, 35,00 eur Obračunati ostali prihodi.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53.037,75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w:t>
            </w:r>
          </w:p>
        </w:tc>
      </w:tr>
    </w:tbl>
    <w:p>
      <w:pPr>
        <w:spacing w:before="0" w:after="0"/>
      </w:pPr>
    </w:p>
    <w:p>
      <w:r>
        <w:t xml:space="preserve">Povećanje u odnosu na prethodnu godinu zbog upisa u 2025. godini u izvanbilančnu evidenciju 15.000,00 eur po Ugovoru Erasmus+.</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14.667,67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313.915,64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2140,2</w:t>
            </w:r>
          </w:p>
        </w:tc>
      </w:tr>
    </w:tbl>
    <w:p>
      <w:pPr>
        <w:spacing w:before="0" w:after="0"/>
      </w:pPr>
    </w:p>
    <w:p>
      <w:r>
        <w:t xml:space="preserve">Uključuju sva potraživanja za prihode poslovanja: Potraživanja za tekuće pomoći proračunskim korisnicima iz proračuna koji im nije nadležan 270.545,35 eur, Potraživanja za pomoći iz državnog proračuna temeljem prijenosa EU sredstva 13.378,89 eur, Potraživanja za prihode od imovine 301,36 eur, Potraživanja za prihode od prodaje proizvoda i robe 200,00 eur, Potraživanja proračunskih korisnika za sredstva uplaćena u nadležni proračun 29.455,04 eur, Potraživanja za kazne i upravne mjere te ostale prihode 35,00 eur.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251.223,05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288.526,74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r>
        <w:t xml:space="preserve">270.907,00 eur Obveze za zaposlene + 17.619,74 eur Obveze za materijalne rashode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Tuđa imovina dobivena na korištenje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Izvanbilančni zapisi koji se odnose na projekt Carnet - e- skole.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Potpisan Ugovor Erasmus+ PT01-KA210-SCH-000-244531 ukupne vrijednosti 15.000,00 eur. Ukupna vrijednost Ugovora evidnetirana je na ovom kontu.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2.933.767,15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3.440.790,42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Ova stavka prikazuje ukupne rashode  2025. godine i to:</w:t>
      </w:r>
    </w:p>
    <w:p>
      <w:r>
        <w:t xml:space="preserve">-rashode poslovanja (razred 3) u iznosu od 3.409.100,50 eur i</w:t>
      </w:r>
    </w:p>
    <w:p>
      <w:r>
        <w:t xml:space="preserve">-rashode za nabavu nefinancijske imovine (razred 4) u iznosu od 31.689,92 eur</w:t>
      </w:r>
    </w:p>
    <w:p>
      <w:r>
        <w:t xml:space="preserve">Ukupni rashodi su povećani u odnosu na prethodnu godinu. Najveći dio povećanja rashoda je na rashodima za zaposlene uslijed primjene Novog Pravilnika o proračunskom računovodstvu i računskom planu NN158/23, NN 154/24 čl.233 - knjiženo 13 rashoda za zaposlene u 2025., u 2024. godini 12 rashoda.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Konto 27521 Obveze za EU predujmove dane iz državnog proračuna - Erasmus+ PT01-KA210-SCH-000-244531, prva uplata predujma 11.02.2025. godine, izvadak 15/25 u iznosu od 12.000,00 eur.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šifra V007 je u iznosu 0,00 eur.</w:t>
      </w:r>
    </w:p>
    <w:p>
      <w:r>
        <w:t xml:space="preserve">Škola nema dospjelih obveza na kraju izvještajnog razdoblja.</w:t>
      </w:r>
    </w:p>
    <w:p>
      <w:r>
        <w:t xml:space="preserve">Ukupne obveze na kraju izvještajnog razdoblja iznose 300.924,82 eur i nedospjele su.</w:t>
      </w:r>
    </w:p>
    <w:p>
      <w:r>
        <w:t xml:space="preserve">Uključuju: 270.907,00 eur obveze za zaposlene ( plaća i materijalna prava zaposlenika za 12/25), 17.619,74 eur obveze za materijalne rashode, 398,08 eur obveze proračunskih korisnika za povrat u proračun-bolovanja preko 42 dana, 12.000,00 eur obveze za EU predujmove  dane iz državnog proračuna.</w:t>
      </w:r>
    </w:p>
    <w:p>
      <w:r>
        <w:t xml:space="preserve"> </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300.924,82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kraju izvještajnog razdoblja u iznosu od 300.924,82 eur uključuju:</w:t>
      </w:r>
    </w:p>
    <w:p>
      <w:r>
        <w:t xml:space="preserve">270.907,00 eur - Obveze za zaposlene: 258.988,56 eur plaća zaposlenici za 12/25, 10.974,79 eur materijalna prava zaposlenici za 11+12/25, 943,65 eur plaća pomoćnik u nastavi za 12/25</w:t>
      </w:r>
    </w:p>
    <w:p>
      <w:r>
        <w:t xml:space="preserve">17.619,74 eur - Obveze za materijalne rashode: 6.616,16 eur neplaćeni ulazni računi dobavljačima za 12/25, 10.421,58 eur prijevoz zaposlenika za 12/25 i obilazak učenika na praksi za 12/25, 582,00 eur novčana naknada poslodavca zbog nezapošljavanja osoba sa invaliditetom za 12/25</w:t>
      </w:r>
    </w:p>
    <w:p>
      <w:r>
        <w:t xml:space="preserve">398,08 eur - Obveze proračunskih korisnika za povrat u proračun-bolovanja preko 42 dana</w:t>
      </w:r>
    </w:p>
    <w:p>
      <w:r>
        <w:t xml:space="preserve">12.000,00 eur - Obveze za EU predujmove dane iz državnog proračuna - Erasmus+ PT01-KA210-SCH-000-244531</w:t>
      </w:r>
    </w:p>
    <w:p/>
    <w:p>
      <w:pPr>
        <w:jc w:val="center"/>
        <w:pStyle w:val="Normal"/>
        <w:spacing w:line="240" w:lineRule="auto"/>
        <w:keepNext/>
      </w:pPr>
      <w:r>
        <w:rPr>
          <w:sz w:val="28"/>
          <w:rFonts w:ascii="Times New Roman" w:hAnsi="Times New Roman"/>
        </w:rPr>
        <w:t xml:space="preserve">Bilješka 28.</w:t>
      </w:r>
    </w:p>
    <w:p>
      <w:pPr>
        <w:jc w:val="both"/>
        <w:pStyle w:val="Normal"/>
        <w:spacing w:line="240" w:lineRule="auto"/>
      </w:pPr>
      <w:r>
        <w:rPr>
          <w:b/>
          <w:sz w:val="24"/>
          <w:rFonts w:ascii="Times New Roman" w:hAnsi="Times New Roman"/>
        </w:rPr>
        <w:t xml:space="preserve">EU izvještaj</w:t>
      </w:r>
    </w:p>
    <w:p>
      <w:r>
        <w:t xml:space="preserve">Erasmus + PT01-KA01-KA210-SCH-00244531, Ugovor potpisan 6. siječnja 2025. u iznosu od 15.000,00 i evidentiran je na računima 99171 (duguje) i 99671 (potražuje). Prva uplata predujma 11.2.2025. izvod 15/25 u iznosu od 12.000,00 EUR knjižen na račun 27521 Obveze za dane predujmove EU iz državnog proračuna. </w:t>
      </w:r>
    </w:p>
    <w:p>
      <w:r>
        <w:t xml:space="preserve">Prema Izmjeni Uputa za računovodstveno evidentiranje sredstava Europske unije od 15. siječnja 2026., nastali rashodi za svako tromjesečje evidentiraju se na računima 16381 (duguje) i 96381 (potražuje).</w:t>
      </w:r>
    </w:p>
    <w:p>
      <w:r>
        <w:t xml:space="preserve">Predaja završnog izvješća, odobrenje izvješća i isplata očekuju se 2026. godine, kada ćemo izvršiti preostala knjiženja prema Uputi.</w:t>
      </w:r>
    </w:p>
    <w:p>
      <w:r>
        <w:t xml:space="preserve">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1a4275928c14f7e" /></Relationships>
</file>